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方正小标宋简体" w:eastAsia="方正小标宋简体" w:hAnsiTheme="majorEastAsia"/>
          <w:sz w:val="44"/>
          <w:szCs w:val="44"/>
        </w:rPr>
      </w:pPr>
    </w:p>
    <w:p>
      <w:pPr>
        <w:ind w:firstLine="0" w:firstLineChars="0"/>
        <w:jc w:val="center"/>
        <w:rPr>
          <w:rFonts w:hint="eastAsia" w:ascii="方正小标宋简体" w:eastAsia="方正小标宋简体" w:hAnsiTheme="majorEastAsia"/>
          <w:sz w:val="44"/>
          <w:szCs w:val="44"/>
        </w:rPr>
      </w:pPr>
    </w:p>
    <w:p>
      <w:pPr>
        <w:ind w:firstLine="0" w:firstLineChars="0"/>
        <w:jc w:val="center"/>
        <w:rPr>
          <w:rFonts w:hint="eastAsia" w:ascii="方正小标宋简体" w:eastAsia="方正小标宋简体" w:hAnsiTheme="majorEastAsia"/>
          <w:sz w:val="44"/>
          <w:szCs w:val="44"/>
        </w:rPr>
      </w:pPr>
    </w:p>
    <w:p>
      <w:pPr>
        <w:ind w:firstLine="0" w:firstLineChars="0"/>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山东省大学生“数字+”创新创业大赛</w:t>
      </w:r>
    </w:p>
    <w:p>
      <w:pPr>
        <w:ind w:firstLine="0" w:firstLineChars="0"/>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“数字+”</w:t>
      </w:r>
      <w:r>
        <w:rPr>
          <w:rFonts w:hint="eastAsia" w:ascii="方正小标宋简体" w:eastAsia="方正小标宋简体" w:hAnsiTheme="majorEastAsia"/>
          <w:sz w:val="44"/>
          <w:szCs w:val="44"/>
          <w:lang w:val="en-US" w:eastAsia="zh-CN"/>
        </w:rPr>
        <w:t>交通</w:t>
      </w:r>
      <w:r>
        <w:rPr>
          <w:rFonts w:hint="eastAsia" w:ascii="方正小标宋简体" w:eastAsia="方正小标宋简体" w:hAnsiTheme="majorEastAsia"/>
          <w:sz w:val="44"/>
          <w:szCs w:val="44"/>
          <w:lang w:eastAsia="zh-CN"/>
        </w:rPr>
        <w:t>－</w:t>
      </w:r>
      <w:r>
        <w:rPr>
          <w:rFonts w:hint="eastAsia" w:ascii="方正小标宋简体" w:eastAsia="方正小标宋简体" w:hAnsiTheme="majorEastAsia"/>
          <w:sz w:val="44"/>
          <w:szCs w:val="44"/>
        </w:rPr>
        <w:t>创意项目</w:t>
      </w:r>
    </w:p>
    <w:p>
      <w:pPr>
        <w:ind w:firstLine="0" w:firstLineChars="0"/>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无人机-穿越机规则</w:t>
      </w:r>
    </w:p>
    <w:p>
      <w:pPr>
        <w:widowControl/>
        <w:ind w:firstLine="860"/>
        <w:jc w:val="center"/>
        <w:rPr>
          <w:rFonts w:ascii="黑体" w:hAnsi="宋体" w:eastAsia="黑体" w:cs="黑体"/>
          <w:color w:val="000000"/>
          <w:kern w:val="0"/>
          <w:sz w:val="43"/>
          <w:szCs w:val="43"/>
          <w:lang w:bidi="ar"/>
        </w:rPr>
      </w:pPr>
    </w:p>
    <w:p>
      <w:pPr>
        <w:widowControl/>
        <w:ind w:firstLine="860"/>
        <w:jc w:val="center"/>
        <w:rPr>
          <w:rFonts w:ascii="黑体" w:hAnsi="宋体" w:eastAsia="黑体" w:cs="黑体"/>
          <w:color w:val="000000"/>
          <w:kern w:val="0"/>
          <w:sz w:val="43"/>
          <w:szCs w:val="43"/>
          <w:lang w:bidi="ar"/>
        </w:rPr>
      </w:pPr>
    </w:p>
    <w:p>
      <w:pPr>
        <w:widowControl/>
        <w:ind w:firstLine="860"/>
        <w:jc w:val="center"/>
        <w:rPr>
          <w:rFonts w:ascii="黑体" w:hAnsi="宋体" w:eastAsia="黑体" w:cs="黑体"/>
          <w:color w:val="000000"/>
          <w:kern w:val="0"/>
          <w:sz w:val="43"/>
          <w:szCs w:val="43"/>
          <w:lang w:bidi="ar"/>
        </w:rPr>
      </w:pPr>
    </w:p>
    <w:p>
      <w:pPr>
        <w:widowControl/>
        <w:ind w:firstLine="860"/>
        <w:jc w:val="center"/>
        <w:rPr>
          <w:rFonts w:ascii="黑体" w:hAnsi="宋体" w:eastAsia="黑体" w:cs="黑体"/>
          <w:color w:val="000000"/>
          <w:kern w:val="0"/>
          <w:sz w:val="43"/>
          <w:szCs w:val="43"/>
          <w:lang w:bidi="ar"/>
        </w:rPr>
      </w:pPr>
    </w:p>
    <w:p>
      <w:pPr>
        <w:widowControl/>
        <w:ind w:firstLine="720"/>
        <w:jc w:val="center"/>
        <w:rPr>
          <w:rFonts w:hint="eastAsia" w:ascii="宋体" w:hAnsi="宋体" w:eastAsia="宋体" w:cs="宋体"/>
          <w:color w:val="000000"/>
          <w:kern w:val="0"/>
          <w:sz w:val="36"/>
          <w:szCs w:val="36"/>
          <w:lang w:bidi="ar"/>
        </w:rPr>
      </w:pPr>
      <w:r>
        <w:rPr>
          <w:rFonts w:hint="eastAsia" w:ascii="宋体" w:hAnsi="宋体" w:eastAsia="宋体" w:cs="宋体"/>
          <w:color w:val="000000"/>
          <w:kern w:val="0"/>
          <w:sz w:val="36"/>
          <w:szCs w:val="36"/>
          <w:lang w:bidi="ar"/>
        </w:rPr>
        <w:t>赛道：“数字+”</w:t>
      </w:r>
      <w:r>
        <w:rPr>
          <w:rFonts w:hint="eastAsia" w:ascii="宋体" w:hAnsi="宋体" w:eastAsia="宋体" w:cs="宋体"/>
          <w:color w:val="000000"/>
          <w:kern w:val="0"/>
          <w:sz w:val="36"/>
          <w:szCs w:val="36"/>
          <w:lang w:val="en-US" w:eastAsia="zh-CN" w:bidi="ar"/>
        </w:rPr>
        <w:t>交通</w:t>
      </w:r>
      <w:r>
        <w:rPr>
          <w:rFonts w:hint="eastAsia" w:ascii="宋体" w:hAnsi="宋体" w:eastAsia="宋体" w:cs="宋体"/>
          <w:color w:val="000000"/>
          <w:kern w:val="0"/>
          <w:sz w:val="36"/>
          <w:szCs w:val="36"/>
          <w:lang w:eastAsia="zh-CN" w:bidi="ar"/>
        </w:rPr>
        <w:t>－</w:t>
      </w:r>
      <w:r>
        <w:rPr>
          <w:rFonts w:hint="eastAsia" w:ascii="宋体" w:hAnsi="宋体" w:eastAsia="宋体" w:cs="宋体"/>
          <w:color w:val="000000"/>
          <w:kern w:val="0"/>
          <w:sz w:val="36"/>
          <w:szCs w:val="36"/>
          <w:lang w:bidi="ar"/>
        </w:rPr>
        <w:t>创意项目</w:t>
      </w:r>
    </w:p>
    <w:p>
      <w:pPr>
        <w:widowControl/>
        <w:ind w:firstLine="720"/>
        <w:jc w:val="center"/>
        <w:rPr>
          <w:rFonts w:hint="eastAsia" w:ascii="宋体" w:hAnsi="宋体" w:eastAsia="宋体" w:cs="宋体"/>
          <w:color w:val="000000"/>
          <w:kern w:val="0"/>
          <w:sz w:val="36"/>
          <w:szCs w:val="36"/>
          <w:lang w:eastAsia="zh-CN" w:bidi="ar"/>
        </w:rPr>
      </w:pPr>
      <w:r>
        <w:rPr>
          <w:rFonts w:hint="eastAsia" w:ascii="宋体" w:hAnsi="宋体" w:eastAsia="宋体" w:cs="宋体"/>
          <w:color w:val="000000"/>
          <w:kern w:val="0"/>
          <w:sz w:val="36"/>
          <w:szCs w:val="36"/>
          <w:lang w:bidi="ar"/>
        </w:rPr>
        <w:t>赛项名称：</w:t>
      </w:r>
      <w:r>
        <w:rPr>
          <w:rFonts w:hint="eastAsia" w:ascii="宋体" w:hAnsi="宋体" w:eastAsia="宋体" w:cs="宋体"/>
          <w:color w:val="000000"/>
          <w:kern w:val="0"/>
          <w:sz w:val="36"/>
          <w:szCs w:val="36"/>
          <w:lang w:val="en-US" w:eastAsia="zh-CN" w:bidi="ar"/>
        </w:rPr>
        <w:t>无人机-穿越机</w:t>
      </w:r>
    </w:p>
    <w:p>
      <w:pPr>
        <w:ind w:firstLine="480"/>
        <w:jc w:val="center"/>
      </w:pPr>
    </w:p>
    <w:p>
      <w:pPr>
        <w:ind w:firstLine="480"/>
        <w:jc w:val="center"/>
      </w:pPr>
    </w:p>
    <w:p>
      <w:pPr>
        <w:ind w:firstLine="480"/>
        <w:jc w:val="center"/>
      </w:pPr>
    </w:p>
    <w:p>
      <w:pPr>
        <w:ind w:firstLine="480"/>
        <w:jc w:val="center"/>
      </w:pPr>
    </w:p>
    <w:p>
      <w:pPr>
        <w:ind w:firstLine="480"/>
        <w:jc w:val="center"/>
      </w:pPr>
    </w:p>
    <w:p>
      <w:pPr>
        <w:ind w:firstLine="480"/>
        <w:jc w:val="center"/>
      </w:pPr>
    </w:p>
    <w:p>
      <w:pPr>
        <w:ind w:firstLine="480"/>
        <w:jc w:val="center"/>
      </w:pPr>
    </w:p>
    <w:p>
      <w:pPr>
        <w:ind w:firstLine="480"/>
        <w:jc w:val="center"/>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hint="eastAsia" w:ascii="楷体_GB2312" w:eastAsia="楷体_GB2312"/>
          <w:b/>
          <w:bCs/>
          <w:sz w:val="32"/>
          <w:szCs w:val="32"/>
        </w:rPr>
      </w:pPr>
      <w:r>
        <w:rPr>
          <w:rFonts w:hint="eastAsia" w:ascii="楷体_GB2312" w:hAnsi="宋体" w:eastAsia="楷体_GB2312" w:cs="黑体"/>
          <w:color w:val="000000"/>
          <w:kern w:val="0"/>
          <w:sz w:val="32"/>
          <w:szCs w:val="32"/>
          <w:lang w:bidi="ar"/>
        </w:rPr>
        <w:t>2023</w:t>
      </w:r>
      <w:r>
        <w:rPr>
          <w:rFonts w:hint="eastAsia" w:ascii="楷体_GB2312" w:eastAsia="楷体_GB2312"/>
          <w:b/>
          <w:bCs/>
          <w:sz w:val="32"/>
          <w:szCs w:val="32"/>
        </w:rPr>
        <w:t>山东省大学生“数字+”创新创业大赛组委会</w:t>
      </w:r>
    </w:p>
    <w:p>
      <w:pPr>
        <w:ind w:firstLine="0" w:firstLineChars="0"/>
        <w:jc w:val="center"/>
        <w:rPr>
          <w:rFonts w:hint="eastAsia" w:ascii="楷体_GB2312" w:eastAsia="楷体_GB2312"/>
          <w:b/>
          <w:bCs/>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firstLine="0" w:firstLineChars="0"/>
        <w:jc w:val="center"/>
        <w:rPr>
          <w:rFonts w:hint="eastAsia" w:ascii="楷体_GB2312" w:eastAsia="楷体_GB2312"/>
          <w:b/>
          <w:bCs/>
          <w:sz w:val="32"/>
          <w:szCs w:val="32"/>
        </w:rPr>
      </w:pPr>
    </w:p>
    <w:sdt>
      <w:sdtPr>
        <w:rPr>
          <w:rFonts w:ascii="宋体" w:hAnsi="宋体" w:eastAsia="宋体" w:cs="微软雅黑"/>
          <w:b/>
          <w:bCs/>
          <w:color w:val="333333"/>
          <w:sz w:val="32"/>
          <w:szCs w:val="32"/>
          <w:lang w:val="en-US" w:eastAsia="zh-CN"/>
        </w:rPr>
        <w:id w:val="147471792"/>
        <w15:color w:val="DBDBDB"/>
        <w:docPartObj>
          <w:docPartGallery w:val="Table of Contents"/>
          <w:docPartUnique/>
        </w:docPartObj>
      </w:sdtPr>
      <w:sdtEndPr>
        <w:rPr>
          <w:rFonts w:hint="eastAsia" w:ascii="宋体" w:hAnsi="宋体" w:eastAsia="宋体" w:cs="宋体"/>
          <w:b/>
          <w:bCs/>
          <w:color w:val="333333"/>
          <w:kern w:val="2"/>
          <w:sz w:val="32"/>
          <w:szCs w:val="22"/>
          <w:lang w:val="en-US" w:eastAsia="zh-CN"/>
        </w:rPr>
      </w:sdtEndPr>
      <w:sdtContent>
        <w:p>
          <w:pPr>
            <w:keepNext w:val="0"/>
            <w:keepLines w:val="0"/>
            <w:pageBreakBefore w:val="0"/>
            <w:widowControl/>
            <w:kinsoku/>
            <w:wordWrap/>
            <w:overflowPunct/>
            <w:topLinePunct w:val="0"/>
            <w:autoSpaceDE/>
            <w:autoSpaceDN/>
            <w:bidi w:val="0"/>
            <w:adjustRightInd/>
            <w:snapToGrid/>
            <w:spacing w:before="0" w:beforeLines="0" w:after="0" w:afterLines="0" w:line="312" w:lineRule="auto"/>
            <w:ind w:left="0" w:leftChars="0" w:right="0" w:rightChars="0" w:firstLine="0" w:firstLineChars="0"/>
            <w:jc w:val="center"/>
            <w:textAlignment w:val="auto"/>
            <w:rPr>
              <w:rFonts w:ascii="宋体" w:hAnsi="宋体" w:eastAsia="宋体" w:cs="微软雅黑"/>
              <w:b/>
              <w:bCs/>
              <w:color w:val="333333"/>
              <w:sz w:val="32"/>
              <w:szCs w:val="32"/>
            </w:rPr>
          </w:pPr>
          <w:r>
            <w:rPr>
              <w:rFonts w:ascii="宋体" w:hAnsi="宋体" w:eastAsia="宋体" w:cs="微软雅黑"/>
              <w:b/>
              <w:bCs/>
              <w:color w:val="333333"/>
              <w:sz w:val="32"/>
              <w:szCs w:val="32"/>
            </w:rPr>
            <w:t>目</w:t>
          </w:r>
          <w:r>
            <w:rPr>
              <w:rFonts w:hint="eastAsia" w:ascii="宋体" w:hAnsi="宋体" w:eastAsia="宋体" w:cs="微软雅黑"/>
              <w:b/>
              <w:bCs/>
              <w:color w:val="333333"/>
              <w:sz w:val="32"/>
              <w:szCs w:val="32"/>
              <w:lang w:val="en-US" w:eastAsia="zh-CN"/>
            </w:rPr>
            <w:t xml:space="preserve">   </w:t>
          </w:r>
          <w:r>
            <w:rPr>
              <w:rFonts w:ascii="宋体" w:hAnsi="宋体" w:eastAsia="宋体" w:cs="微软雅黑"/>
              <w:b/>
              <w:bCs/>
              <w:color w:val="333333"/>
              <w:sz w:val="32"/>
              <w:szCs w:val="32"/>
            </w:rPr>
            <w:t>录</w:t>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 w:val="32"/>
              <w:szCs w:val="22"/>
            </w:rPr>
            <w:fldChar w:fldCharType="begin"/>
          </w:r>
          <w:r>
            <w:rPr>
              <w:rFonts w:hint="eastAsia" w:ascii="宋体" w:hAnsi="宋体" w:eastAsia="宋体" w:cs="宋体"/>
              <w:color w:val="333333"/>
              <w:kern w:val="2"/>
              <w:sz w:val="32"/>
              <w:szCs w:val="22"/>
            </w:rPr>
            <w:instrText xml:space="preserve">TOC \o "1-3" \h \u </w:instrText>
          </w:r>
          <w:r>
            <w:rPr>
              <w:rFonts w:hint="eastAsia" w:ascii="宋体" w:hAnsi="宋体" w:eastAsia="宋体" w:cs="宋体"/>
              <w:color w:val="333333"/>
              <w:kern w:val="2"/>
              <w:sz w:val="32"/>
              <w:szCs w:val="22"/>
            </w:rPr>
            <w:fldChar w:fldCharType="separate"/>
          </w: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_Toc13469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一、定义</w:t>
          </w:r>
          <w:r>
            <w:tab/>
          </w:r>
          <w:r>
            <w:fldChar w:fldCharType="begin"/>
          </w:r>
          <w:r>
            <w:instrText xml:space="preserve"> PAGEREF _Toc13469 \h </w:instrText>
          </w:r>
          <w:r>
            <w:fldChar w:fldCharType="separate"/>
          </w:r>
          <w:r>
            <w:t>2</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_Toc31618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二、技术要求</w:t>
          </w:r>
          <w:r>
            <w:tab/>
          </w:r>
          <w:r>
            <w:fldChar w:fldCharType="begin"/>
          </w:r>
          <w:r>
            <w:instrText xml:space="preserve"> PAGEREF _Toc31618 \h </w:instrText>
          </w:r>
          <w:r>
            <w:fldChar w:fldCharType="separate"/>
          </w:r>
          <w:r>
            <w:t>2</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_Toc19096 </w:instrText>
          </w:r>
          <w:r>
            <w:rPr>
              <w:rFonts w:hint="eastAsia" w:ascii="宋体" w:hAnsi="宋体" w:eastAsia="宋体" w:cs="宋体"/>
              <w:kern w:val="2"/>
              <w:szCs w:val="22"/>
            </w:rPr>
            <w:fldChar w:fldCharType="separate"/>
          </w:r>
          <w:r>
            <w:rPr>
              <w:rFonts w:hint="eastAsia" w:ascii="宋体" w:hAnsi="宋体" w:eastAsia="宋体" w:cs="宋体"/>
              <w:lang w:val="en-US" w:eastAsia="zh-CN"/>
            </w:rPr>
            <w:t>（一）</w:t>
          </w:r>
          <w:r>
            <w:rPr>
              <w:rFonts w:hint="eastAsia" w:ascii="宋体" w:hAnsi="宋体" w:eastAsia="宋体" w:cs="宋体"/>
              <w:lang w:val="en-US" w:eastAsia="zh-CN"/>
            </w:rPr>
            <w:t>重量与尺寸</w:t>
          </w:r>
          <w:r>
            <w:tab/>
          </w:r>
          <w:r>
            <w:fldChar w:fldCharType="begin"/>
          </w:r>
          <w:r>
            <w:instrText xml:space="preserve"> PAGEREF _Toc19096 \h </w:instrText>
          </w:r>
          <w:r>
            <w:fldChar w:fldCharType="separate"/>
          </w:r>
          <w:r>
            <w:t>2</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_Toc13240 </w:instrText>
          </w:r>
          <w:r>
            <w:rPr>
              <w:rFonts w:hint="eastAsia" w:ascii="宋体" w:hAnsi="宋体" w:eastAsia="宋体" w:cs="宋体"/>
              <w:kern w:val="2"/>
              <w:szCs w:val="22"/>
            </w:rPr>
            <w:fldChar w:fldCharType="separate"/>
          </w:r>
          <w:r>
            <w:rPr>
              <w:rFonts w:hint="eastAsia" w:ascii="宋体" w:hAnsi="宋体" w:eastAsia="宋体" w:cs="宋体"/>
              <w:lang w:val="en-US" w:eastAsia="zh-CN"/>
            </w:rPr>
            <w:t>（二）</w:t>
          </w:r>
          <w:r>
            <w:rPr>
              <w:rFonts w:hint="eastAsia" w:ascii="宋体" w:hAnsi="宋体" w:eastAsia="宋体" w:cs="宋体"/>
              <w:lang w:val="en-US" w:eastAsia="zh-CN"/>
            </w:rPr>
            <w:t>动力</w:t>
          </w:r>
          <w:r>
            <w:tab/>
          </w:r>
          <w:r>
            <w:fldChar w:fldCharType="begin"/>
          </w:r>
          <w:r>
            <w:instrText xml:space="preserve"> PAGEREF _Toc13240 \h </w:instrText>
          </w:r>
          <w:r>
            <w:fldChar w:fldCharType="separate"/>
          </w:r>
          <w:r>
            <w:t>2</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_Toc28705 </w:instrText>
          </w:r>
          <w:r>
            <w:rPr>
              <w:rFonts w:hint="eastAsia" w:ascii="宋体" w:hAnsi="宋体" w:eastAsia="宋体" w:cs="宋体"/>
              <w:kern w:val="2"/>
              <w:szCs w:val="22"/>
            </w:rPr>
            <w:fldChar w:fldCharType="separate"/>
          </w:r>
          <w:r>
            <w:rPr>
              <w:rFonts w:hint="eastAsia" w:ascii="宋体" w:hAnsi="宋体" w:eastAsia="宋体" w:cs="宋体"/>
              <w:lang w:val="en-US" w:eastAsia="zh-CN"/>
            </w:rPr>
            <w:t>（三）</w:t>
          </w:r>
          <w:r>
            <w:rPr>
              <w:rFonts w:hint="eastAsia" w:ascii="宋体" w:hAnsi="宋体" w:eastAsia="宋体" w:cs="宋体"/>
              <w:lang w:val="en-US" w:eastAsia="zh-CN"/>
            </w:rPr>
            <w:t>螺旋桨</w:t>
          </w:r>
          <w:r>
            <w:tab/>
          </w:r>
          <w:r>
            <w:fldChar w:fldCharType="begin"/>
          </w:r>
          <w:r>
            <w:instrText xml:space="preserve"> PAGEREF _Toc28705 \h </w:instrText>
          </w:r>
          <w:r>
            <w:fldChar w:fldCharType="separate"/>
          </w:r>
          <w:r>
            <w:t>2</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_Toc8889 </w:instrText>
          </w:r>
          <w:r>
            <w:rPr>
              <w:rFonts w:hint="eastAsia" w:ascii="宋体" w:hAnsi="宋体" w:eastAsia="宋体" w:cs="宋体"/>
              <w:kern w:val="2"/>
              <w:szCs w:val="22"/>
            </w:rPr>
            <w:fldChar w:fldCharType="separate"/>
          </w:r>
          <w:r>
            <w:rPr>
              <w:rFonts w:hint="eastAsia" w:ascii="宋体" w:hAnsi="宋体" w:eastAsia="宋体" w:cs="宋体"/>
              <w:lang w:val="en-US" w:eastAsia="zh-CN"/>
            </w:rPr>
            <w:t>（四）LED灯</w:t>
          </w:r>
          <w:r>
            <w:tab/>
          </w:r>
          <w:r>
            <w:fldChar w:fldCharType="begin"/>
          </w:r>
          <w:r>
            <w:instrText xml:space="preserve"> PAGEREF _Toc8889 \h </w:instrText>
          </w:r>
          <w:r>
            <w:fldChar w:fldCharType="separate"/>
          </w:r>
          <w:r>
            <w:t>3</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_Toc9708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三、竞赛安全规定</w:t>
          </w:r>
          <w:r>
            <w:tab/>
          </w:r>
          <w:r>
            <w:fldChar w:fldCharType="begin"/>
          </w:r>
          <w:r>
            <w:instrText xml:space="preserve"> PAGEREF _Toc9708 \h </w:instrText>
          </w:r>
          <w:r>
            <w:fldChar w:fldCharType="separate"/>
          </w:r>
          <w:r>
            <w:t>3</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_Toc5139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四、试飞</w:t>
          </w:r>
          <w:r>
            <w:tab/>
          </w:r>
          <w:r>
            <w:fldChar w:fldCharType="begin"/>
          </w:r>
          <w:r>
            <w:instrText xml:space="preserve"> PAGEREF _Toc5139 \h </w:instrText>
          </w:r>
          <w:r>
            <w:fldChar w:fldCharType="separate"/>
          </w:r>
          <w:r>
            <w:t>3</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_Toc18507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五、竞赛过程</w:t>
          </w:r>
          <w:r>
            <w:tab/>
          </w:r>
          <w:r>
            <w:fldChar w:fldCharType="begin"/>
          </w:r>
          <w:r>
            <w:instrText xml:space="preserve"> PAGEREF _Toc18507 \h </w:instrText>
          </w:r>
          <w:r>
            <w:fldChar w:fldCharType="separate"/>
          </w:r>
          <w:r>
            <w:t>4</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_Toc15818 </w:instrText>
          </w:r>
          <w:r>
            <w:rPr>
              <w:rFonts w:hint="eastAsia" w:ascii="宋体" w:hAnsi="宋体" w:eastAsia="宋体" w:cs="宋体"/>
              <w:kern w:val="2"/>
              <w:szCs w:val="22"/>
            </w:rPr>
            <w:fldChar w:fldCharType="separate"/>
          </w:r>
          <w:r>
            <w:rPr>
              <w:rFonts w:hint="eastAsia" w:ascii="宋体" w:hAnsi="宋体" w:eastAsia="宋体" w:cs="宋体"/>
              <w:lang w:val="en-US" w:eastAsia="zh-CN"/>
            </w:rPr>
            <w:t>（一）检录</w:t>
          </w:r>
          <w:r>
            <w:tab/>
          </w:r>
          <w:r>
            <w:fldChar w:fldCharType="begin"/>
          </w:r>
          <w:r>
            <w:instrText xml:space="preserve"> PAGEREF _Toc15818 \h </w:instrText>
          </w:r>
          <w:r>
            <w:fldChar w:fldCharType="separate"/>
          </w:r>
          <w:r>
            <w:t>4</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_Toc15432 </w:instrText>
          </w:r>
          <w:r>
            <w:rPr>
              <w:rFonts w:hint="eastAsia" w:ascii="宋体" w:hAnsi="宋体" w:eastAsia="宋体" w:cs="宋体"/>
              <w:kern w:val="2"/>
              <w:szCs w:val="22"/>
            </w:rPr>
            <w:fldChar w:fldCharType="separate"/>
          </w:r>
          <w:r>
            <w:rPr>
              <w:rFonts w:hint="eastAsia" w:ascii="宋体" w:hAnsi="宋体" w:eastAsia="宋体" w:cs="宋体"/>
              <w:lang w:val="en-US" w:eastAsia="zh-CN"/>
            </w:rPr>
            <w:t>（二）准备</w:t>
          </w:r>
          <w:r>
            <w:tab/>
          </w:r>
          <w:r>
            <w:fldChar w:fldCharType="begin"/>
          </w:r>
          <w:r>
            <w:instrText xml:space="preserve"> PAGEREF _Toc15432 \h </w:instrText>
          </w:r>
          <w:r>
            <w:fldChar w:fldCharType="separate"/>
          </w:r>
          <w:r>
            <w:t>4</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_Toc9097 </w:instrText>
          </w:r>
          <w:r>
            <w:rPr>
              <w:rFonts w:hint="eastAsia" w:ascii="宋体" w:hAnsi="宋体" w:eastAsia="宋体" w:cs="宋体"/>
              <w:kern w:val="2"/>
              <w:szCs w:val="22"/>
            </w:rPr>
            <w:fldChar w:fldCharType="separate"/>
          </w:r>
          <w:r>
            <w:rPr>
              <w:rFonts w:hint="eastAsia" w:ascii="宋体" w:hAnsi="宋体" w:eastAsia="宋体" w:cs="宋体"/>
              <w:lang w:val="en-US" w:eastAsia="zh-CN"/>
            </w:rPr>
            <w:t>（三）起飞</w:t>
          </w:r>
          <w:r>
            <w:tab/>
          </w:r>
          <w:r>
            <w:fldChar w:fldCharType="begin"/>
          </w:r>
          <w:r>
            <w:instrText xml:space="preserve"> PAGEREF _Toc9097 \h </w:instrText>
          </w:r>
          <w:r>
            <w:fldChar w:fldCharType="separate"/>
          </w:r>
          <w:r>
            <w:t>4</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_Toc1668 </w:instrText>
          </w:r>
          <w:r>
            <w:rPr>
              <w:rFonts w:hint="eastAsia" w:ascii="宋体" w:hAnsi="宋体" w:eastAsia="宋体" w:cs="宋体"/>
              <w:kern w:val="2"/>
              <w:szCs w:val="22"/>
            </w:rPr>
            <w:fldChar w:fldCharType="separate"/>
          </w:r>
          <w:r>
            <w:rPr>
              <w:rFonts w:hint="eastAsia" w:ascii="宋体" w:hAnsi="宋体" w:eastAsia="宋体" w:cs="宋体"/>
              <w:lang w:val="en-US" w:eastAsia="zh-CN"/>
            </w:rPr>
            <w:t>（四）飞行</w:t>
          </w:r>
          <w:r>
            <w:tab/>
          </w:r>
          <w:r>
            <w:fldChar w:fldCharType="begin"/>
          </w:r>
          <w:r>
            <w:instrText xml:space="preserve"> PAGEREF _Toc1668 \h </w:instrText>
          </w:r>
          <w:r>
            <w:fldChar w:fldCharType="separate"/>
          </w:r>
          <w:r>
            <w:t>5</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_Toc4236 </w:instrText>
          </w:r>
          <w:r>
            <w:rPr>
              <w:rFonts w:hint="eastAsia" w:ascii="宋体" w:hAnsi="宋体" w:eastAsia="宋体" w:cs="宋体"/>
              <w:kern w:val="2"/>
              <w:szCs w:val="22"/>
            </w:rPr>
            <w:fldChar w:fldCharType="separate"/>
          </w:r>
          <w:r>
            <w:rPr>
              <w:rFonts w:hint="eastAsia" w:ascii="宋体" w:hAnsi="宋体" w:eastAsia="宋体" w:cs="宋体"/>
              <w:lang w:val="en-US" w:eastAsia="zh-CN"/>
            </w:rPr>
            <w:t>（五）降落和计时终止</w:t>
          </w:r>
          <w:r>
            <w:tab/>
          </w:r>
          <w:r>
            <w:fldChar w:fldCharType="begin"/>
          </w:r>
          <w:r>
            <w:instrText xml:space="preserve"> PAGEREF _Toc4236 \h </w:instrText>
          </w:r>
          <w:r>
            <w:fldChar w:fldCharType="separate"/>
          </w:r>
          <w:r>
            <w:t>5</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_Toc8700 </w:instrText>
          </w:r>
          <w:r>
            <w:rPr>
              <w:rFonts w:hint="eastAsia" w:ascii="宋体" w:hAnsi="宋体" w:eastAsia="宋体" w:cs="宋体"/>
              <w:kern w:val="2"/>
              <w:szCs w:val="22"/>
            </w:rPr>
            <w:fldChar w:fldCharType="separate"/>
          </w:r>
          <w:r>
            <w:rPr>
              <w:rFonts w:hint="eastAsia" w:ascii="宋体" w:hAnsi="宋体" w:eastAsia="宋体" w:cs="宋体"/>
              <w:lang w:val="en-US" w:eastAsia="zh-CN"/>
            </w:rPr>
            <w:t>（六）</w:t>
          </w:r>
          <w:r>
            <w:rPr>
              <w:rFonts w:hint="eastAsia" w:ascii="宋体" w:hAnsi="宋体" w:eastAsia="宋体" w:cs="宋体"/>
              <w:lang w:val="en-US" w:eastAsia="zh-CN"/>
            </w:rPr>
            <w:t>结束</w:t>
          </w:r>
          <w:r>
            <w:tab/>
          </w:r>
          <w:r>
            <w:fldChar w:fldCharType="begin"/>
          </w:r>
          <w:r>
            <w:instrText xml:space="preserve"> PAGEREF _Toc8700 \h </w:instrText>
          </w:r>
          <w:r>
            <w:fldChar w:fldCharType="separate"/>
          </w:r>
          <w:r>
            <w:t>6</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_Toc17854 </w:instrText>
          </w:r>
          <w:r>
            <w:rPr>
              <w:rFonts w:hint="eastAsia" w:ascii="宋体" w:hAnsi="宋体" w:eastAsia="宋体" w:cs="宋体"/>
              <w:kern w:val="2"/>
              <w:szCs w:val="22"/>
            </w:rPr>
            <w:fldChar w:fldCharType="separate"/>
          </w:r>
          <w:r>
            <w:rPr>
              <w:rFonts w:hint="eastAsia" w:ascii="宋体" w:hAnsi="宋体" w:eastAsia="宋体" w:cs="宋体"/>
              <w:lang w:val="en-US" w:eastAsia="zh-CN"/>
            </w:rPr>
            <w:t>（七</w:t>
          </w:r>
          <w:bookmarkStart w:id="31" w:name="_GoBack"/>
          <w:bookmarkEnd w:id="31"/>
          <w:r>
            <w:rPr>
              <w:rFonts w:hint="eastAsia" w:ascii="宋体" w:hAnsi="宋体" w:eastAsia="宋体" w:cs="宋体"/>
              <w:lang w:val="en-US" w:eastAsia="zh-CN"/>
            </w:rPr>
            <w:t>）</w:t>
          </w:r>
          <w:r>
            <w:rPr>
              <w:rFonts w:hint="eastAsia" w:ascii="宋体" w:hAnsi="宋体" w:eastAsia="宋体" w:cs="宋体"/>
              <w:lang w:val="en-US" w:eastAsia="zh-CN"/>
            </w:rPr>
            <w:t>确认成绩</w:t>
          </w:r>
          <w:r>
            <w:tab/>
          </w:r>
          <w:r>
            <w:fldChar w:fldCharType="begin"/>
          </w:r>
          <w:r>
            <w:instrText xml:space="preserve"> PAGEREF _Toc17854 \h </w:instrText>
          </w:r>
          <w:r>
            <w:fldChar w:fldCharType="separate"/>
          </w:r>
          <w:r>
            <w:t>6</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_Toc24113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六、成绩评定</w:t>
          </w:r>
          <w:r>
            <w:tab/>
          </w:r>
          <w:r>
            <w:fldChar w:fldCharType="begin"/>
          </w:r>
          <w:r>
            <w:instrText xml:space="preserve"> PAGEREF _Toc24113 \h </w:instrText>
          </w:r>
          <w:r>
            <w:fldChar w:fldCharType="separate"/>
          </w:r>
          <w:r>
            <w:t>6</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_Toc9693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七、判罚</w:t>
          </w:r>
          <w:r>
            <w:tab/>
          </w:r>
          <w:r>
            <w:fldChar w:fldCharType="begin"/>
          </w:r>
          <w:r>
            <w:instrText xml:space="preserve"> PAGEREF _Toc9693 \h </w:instrText>
          </w:r>
          <w:r>
            <w:fldChar w:fldCharType="separate"/>
          </w:r>
          <w:r>
            <w:t>7</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_Toc1854 </w:instrText>
          </w:r>
          <w:r>
            <w:rPr>
              <w:rFonts w:hint="eastAsia" w:ascii="宋体" w:hAnsi="宋体" w:eastAsia="宋体" w:cs="宋体"/>
              <w:kern w:val="2"/>
              <w:szCs w:val="22"/>
            </w:rPr>
            <w:fldChar w:fldCharType="separate"/>
          </w:r>
          <w:r>
            <w:rPr>
              <w:rFonts w:hint="eastAsia" w:ascii="宋体" w:hAnsi="宋体" w:eastAsia="宋体" w:cs="宋体"/>
              <w:lang w:val="en-US" w:eastAsia="zh-CN"/>
            </w:rPr>
            <w:t>(一)以下情况及判罚方式：</w:t>
          </w:r>
          <w:r>
            <w:tab/>
          </w:r>
          <w:r>
            <w:fldChar w:fldCharType="begin"/>
          </w:r>
          <w:r>
            <w:instrText xml:space="preserve"> PAGEREF _Toc1854 \h </w:instrText>
          </w:r>
          <w:r>
            <w:fldChar w:fldCharType="separate"/>
          </w:r>
          <w:r>
            <w:t>7</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_Toc14240 </w:instrText>
          </w:r>
          <w:r>
            <w:rPr>
              <w:rFonts w:hint="eastAsia" w:ascii="宋体" w:hAnsi="宋体" w:eastAsia="宋体" w:cs="宋体"/>
              <w:kern w:val="2"/>
              <w:szCs w:val="22"/>
            </w:rPr>
            <w:fldChar w:fldCharType="separate"/>
          </w:r>
          <w:r>
            <w:rPr>
              <w:rFonts w:hint="eastAsia" w:ascii="宋体" w:hAnsi="宋体" w:eastAsia="宋体" w:cs="宋体"/>
              <w:lang w:val="en-US" w:eastAsia="zh-CN"/>
            </w:rPr>
            <w:t>(二)故障及备机的使用</w:t>
          </w:r>
          <w:r>
            <w:tab/>
          </w:r>
          <w:r>
            <w:fldChar w:fldCharType="begin"/>
          </w:r>
          <w:r>
            <w:instrText xml:space="preserve"> PAGEREF _Toc14240 \h </w:instrText>
          </w:r>
          <w:r>
            <w:fldChar w:fldCharType="separate"/>
          </w:r>
          <w:r>
            <w:t>7</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_Toc28635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八、场地</w:t>
          </w:r>
          <w:r>
            <w:tab/>
          </w:r>
          <w:r>
            <w:fldChar w:fldCharType="begin"/>
          </w:r>
          <w:r>
            <w:instrText xml:space="preserve"> PAGEREF _Toc28635 \h </w:instrText>
          </w:r>
          <w:r>
            <w:fldChar w:fldCharType="separate"/>
          </w:r>
          <w:r>
            <w:t>8</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_Toc22070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九、 参赛队伍要求</w:t>
          </w:r>
          <w:r>
            <w:tab/>
          </w:r>
          <w:r>
            <w:fldChar w:fldCharType="begin"/>
          </w:r>
          <w:r>
            <w:instrText xml:space="preserve"> PAGEREF _Toc22070 \h </w:instrText>
          </w:r>
          <w:r>
            <w:fldChar w:fldCharType="separate"/>
          </w:r>
          <w:r>
            <w:t>8</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221"/>
            <w:textAlignment w:val="auto"/>
          </w:pPr>
          <w:r>
            <w:rPr>
              <w:rFonts w:hint="eastAsia" w:ascii="宋体" w:hAnsi="宋体" w:eastAsia="宋体" w:cs="宋体"/>
              <w:color w:val="333333"/>
              <w:kern w:val="2"/>
              <w:szCs w:val="22"/>
            </w:rPr>
            <w:fldChar w:fldCharType="begin"/>
          </w:r>
          <w:r>
            <w:rPr>
              <w:rFonts w:hint="eastAsia" w:ascii="宋体" w:hAnsi="宋体" w:eastAsia="宋体" w:cs="宋体"/>
              <w:kern w:val="2"/>
              <w:szCs w:val="22"/>
            </w:rPr>
            <w:instrText xml:space="preserve"> HYPERLINK \l _Toc29806 </w:instrText>
          </w:r>
          <w:r>
            <w:rPr>
              <w:rFonts w:hint="eastAsia" w:ascii="宋体" w:hAnsi="宋体" w:eastAsia="宋体" w:cs="宋体"/>
              <w:kern w:val="2"/>
              <w:szCs w:val="22"/>
            </w:rPr>
            <w:fldChar w:fldCharType="separate"/>
          </w:r>
          <w:r>
            <w:rPr>
              <w:rFonts w:hint="eastAsia" w:ascii="黑体" w:hAnsi="黑体" w:eastAsia="黑体" w:cs="黑体"/>
              <w:bCs w:val="0"/>
              <w:kern w:val="2"/>
              <w:szCs w:val="22"/>
              <w:lang w:val="en-US" w:eastAsia="zh-CN"/>
            </w:rPr>
            <w:t>十、其他</w:t>
          </w:r>
          <w:r>
            <w:tab/>
          </w:r>
          <w:r>
            <w:fldChar w:fldCharType="begin"/>
          </w:r>
          <w:r>
            <w:instrText xml:space="preserve"> PAGEREF _Toc29806 \h </w:instrText>
          </w:r>
          <w:r>
            <w:fldChar w:fldCharType="separate"/>
          </w:r>
          <w:r>
            <w:t>9</w:t>
          </w:r>
          <w:r>
            <w:fldChar w:fldCharType="end"/>
          </w:r>
          <w:r>
            <w:rPr>
              <w:rFonts w:hint="eastAsia" w:ascii="宋体" w:hAnsi="宋体" w:eastAsia="宋体" w:cs="宋体"/>
              <w:color w:val="333333"/>
              <w:kern w:val="2"/>
              <w:szCs w:val="22"/>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before="50" w:beforeLines="50" w:after="0" w:line="312" w:lineRule="auto"/>
            <w:ind w:left="420" w:leftChars="200" w:firstLine="440" w:firstLineChars="200"/>
            <w:jc w:val="left"/>
            <w:textAlignment w:val="auto"/>
            <w:rPr>
              <w:rFonts w:hint="eastAsia" w:ascii="宋体" w:hAnsi="宋体" w:eastAsia="宋体" w:cs="宋体"/>
              <w:color w:val="333333"/>
              <w:kern w:val="2"/>
              <w:sz w:val="32"/>
              <w:szCs w:val="22"/>
              <w:lang w:val="en-US" w:eastAsia="zh-CN"/>
            </w:rPr>
          </w:pPr>
          <w:r>
            <w:rPr>
              <w:rFonts w:hint="eastAsia" w:ascii="宋体" w:hAnsi="宋体" w:eastAsia="宋体" w:cs="宋体"/>
              <w:color w:val="333333"/>
              <w:kern w:val="2"/>
              <w:szCs w:val="22"/>
            </w:rPr>
            <w:fldChar w:fldCharType="end"/>
          </w:r>
        </w:p>
      </w:sdtContent>
    </w:sdt>
    <w:p>
      <w:pPr>
        <w:widowControl/>
        <w:jc w:val="left"/>
        <w:rPr>
          <w:rFonts w:ascii="宋体" w:hAnsi="宋体" w:eastAsia="宋体"/>
          <w:sz w:val="24"/>
          <w:szCs w:val="24"/>
        </w:rPr>
      </w:pPr>
      <w:r>
        <w:rPr>
          <w:rFonts w:ascii="宋体" w:hAnsi="宋体" w:eastAsia="宋体"/>
          <w:sz w:val="24"/>
          <w:szCs w:val="24"/>
        </w:rPr>
        <w:br w:type="page"/>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0" w:name="_Toc136385530"/>
      <w:bookmarkStart w:id="1" w:name="_Toc13469"/>
      <w:r>
        <w:rPr>
          <w:rFonts w:hint="eastAsia" w:ascii="黑体" w:hAnsi="黑体" w:eastAsia="黑体" w:cs="黑体"/>
          <w:bCs w:val="0"/>
          <w:color w:val="333333"/>
          <w:kern w:val="2"/>
          <w:szCs w:val="22"/>
          <w:lang w:val="en-US" w:eastAsia="zh-CN"/>
        </w:rPr>
        <w:t>一、定义</w:t>
      </w:r>
      <w:bookmarkEnd w:id="0"/>
      <w:bookmarkEnd w:id="1"/>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由运动员在地面用无线电遥控设备操纵多轴无人机按规定路线进行绕标竞速飞行。</w:t>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2" w:name="_Toc136385531"/>
      <w:bookmarkStart w:id="3" w:name="_Toc31618"/>
      <w:r>
        <w:rPr>
          <w:rFonts w:hint="eastAsia" w:ascii="黑体" w:hAnsi="黑体" w:eastAsia="黑体" w:cs="黑体"/>
          <w:bCs w:val="0"/>
          <w:color w:val="333333"/>
          <w:kern w:val="2"/>
          <w:szCs w:val="22"/>
          <w:lang w:val="en-US" w:eastAsia="zh-CN"/>
        </w:rPr>
        <w:t>二、技术要求</w:t>
      </w:r>
      <w:bookmarkEnd w:id="2"/>
      <w:bookmarkEnd w:id="3"/>
    </w:p>
    <w:p>
      <w:pPr>
        <w:pStyle w:val="3"/>
        <w:bidi w:val="0"/>
        <w:rPr>
          <w:rFonts w:hint="eastAsia" w:ascii="宋体" w:hAnsi="宋体" w:eastAsia="宋体" w:cs="宋体"/>
          <w:lang w:val="en-US" w:eastAsia="zh-CN"/>
        </w:rPr>
      </w:pPr>
      <w:bookmarkStart w:id="4" w:name="_Toc19096"/>
      <w:r>
        <w:rPr>
          <w:rFonts w:hint="eastAsia" w:ascii="宋体" w:hAnsi="宋体" w:eastAsia="宋体" w:cs="宋体"/>
          <w:lang w:val="en-US" w:eastAsia="zh-CN"/>
        </w:rPr>
        <w:t>(一)重量与尺寸</w:t>
      </w:r>
      <w:bookmarkEnd w:id="4"/>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1%的公差范围适用于尺寸、重量和电池电压测量装置的误差。模型起飞重量不大于1kg，轴距不大于330毫米。</w:t>
      </w:r>
    </w:p>
    <w:p>
      <w:pPr>
        <w:pStyle w:val="3"/>
        <w:bidi w:val="0"/>
        <w:rPr>
          <w:rFonts w:hint="eastAsia" w:ascii="宋体" w:hAnsi="宋体" w:eastAsia="宋体" w:cs="宋体"/>
          <w:lang w:val="en-US" w:eastAsia="zh-CN"/>
        </w:rPr>
      </w:pPr>
      <w:bookmarkStart w:id="5" w:name="_Toc13240"/>
      <w:r>
        <w:rPr>
          <w:rFonts w:hint="eastAsia" w:ascii="宋体" w:hAnsi="宋体" w:eastAsia="宋体" w:cs="宋体"/>
          <w:lang w:val="en-US" w:eastAsia="zh-CN"/>
        </w:rPr>
        <w:t>(二)动力</w:t>
      </w:r>
      <w:bookmarkEnd w:id="5"/>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1.模型以电动为动力，动力电池最大电压25.5伏（6S），每片电池的电压不得超过4.25V。</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2.基准面由螺旋桨中心确定。每个电机可在每个方向上最大倾斜15度。</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3.飞行期间不得使用自驾，只能自稳或手动模式，全程由运动员操控飞行。</w:t>
      </w:r>
    </w:p>
    <w:p>
      <w:pPr>
        <w:pStyle w:val="3"/>
        <w:bidi w:val="0"/>
        <w:rPr>
          <w:rFonts w:hint="eastAsia" w:ascii="宋体" w:hAnsi="宋体" w:eastAsia="宋体" w:cs="宋体"/>
          <w:lang w:val="en-US" w:eastAsia="zh-CN"/>
        </w:rPr>
      </w:pPr>
      <w:bookmarkStart w:id="6" w:name="_Toc28705"/>
      <w:r>
        <w:rPr>
          <w:rFonts w:hint="eastAsia" w:ascii="宋体" w:hAnsi="宋体" w:eastAsia="宋体" w:cs="宋体"/>
          <w:lang w:val="en-US" w:eastAsia="zh-CN"/>
        </w:rPr>
        <w:t>(三) 螺旋桨</w:t>
      </w:r>
      <w:bookmarkEnd w:id="6"/>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螺旋桨最大直径为6英寸（15.2厘米）。</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禁止使用金属螺旋桨。</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螺旋桨必须有防松法兰螺母固定。</w:t>
      </w:r>
    </w:p>
    <w:p>
      <w:pPr>
        <w:pStyle w:val="3"/>
        <w:bidi w:val="0"/>
        <w:rPr>
          <w:rFonts w:hint="eastAsia" w:ascii="宋体" w:hAnsi="宋体" w:eastAsia="宋体" w:cs="宋体"/>
          <w:lang w:val="en-US" w:eastAsia="zh-CN"/>
        </w:rPr>
      </w:pPr>
      <w:bookmarkStart w:id="7" w:name="_Toc8889"/>
      <w:r>
        <w:rPr>
          <w:rFonts w:hint="eastAsia" w:ascii="宋体" w:hAnsi="宋体" w:eastAsia="宋体" w:cs="宋体"/>
          <w:lang w:val="en-US" w:eastAsia="zh-CN"/>
        </w:rPr>
        <w:t>（四）LED灯</w:t>
      </w:r>
      <w:bookmarkEnd w:id="7"/>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四轴飞行器最少 16 个 Led 灯（最少每个机臂底部2个，顶部2个），以便从任何方向都能清楚地看到飞机。</w:t>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8" w:name="_Toc136385532"/>
      <w:bookmarkStart w:id="9" w:name="_Toc9708"/>
      <w:r>
        <w:rPr>
          <w:rFonts w:hint="eastAsia" w:ascii="黑体" w:hAnsi="黑体" w:eastAsia="黑体" w:cs="黑体"/>
          <w:bCs w:val="0"/>
          <w:color w:val="333333"/>
          <w:kern w:val="2"/>
          <w:szCs w:val="22"/>
          <w:lang w:val="en-US" w:eastAsia="zh-CN"/>
        </w:rPr>
        <w:t>三、竞赛安全规定</w:t>
      </w:r>
      <w:bookmarkEnd w:id="8"/>
      <w:bookmarkEnd w:id="9"/>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 所有参赛的无人机飞行器均须设定一个解锁方式，确保飞行器不会因为任何干扰或者意外操作而启动。</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 除项目有规定外，禁止对无人机飞行器进行任何有利于比赛结果的改装和改造。</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 比赛进行中禁止各队任何选手在比赛场地区域外的任何地点、任何时间飞行无人机，擅自飞行产生的后果与组委会无关，造成严重后果的取消比赛资格。</w:t>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10" w:name="_Toc136385533"/>
      <w:bookmarkStart w:id="11" w:name="_Toc5139"/>
      <w:r>
        <w:rPr>
          <w:rFonts w:hint="eastAsia" w:ascii="黑体" w:hAnsi="黑体" w:eastAsia="黑体" w:cs="黑体"/>
          <w:bCs w:val="0"/>
          <w:color w:val="333333"/>
          <w:kern w:val="2"/>
          <w:szCs w:val="22"/>
          <w:lang w:val="en-US" w:eastAsia="zh-CN"/>
        </w:rPr>
        <w:t>四、试飞</w:t>
      </w:r>
      <w:bookmarkEnd w:id="10"/>
      <w:bookmarkEnd w:id="11"/>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在正式比赛开始前，会组织一个正式的练习环节，以便选手熟悉场地。</w:t>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12" w:name="_Toc136385534"/>
      <w:bookmarkStart w:id="13" w:name="_Toc18507"/>
      <w:r>
        <w:rPr>
          <w:rFonts w:hint="eastAsia" w:ascii="黑体" w:hAnsi="黑体" w:eastAsia="黑体" w:cs="黑体"/>
          <w:bCs w:val="0"/>
          <w:color w:val="333333"/>
          <w:kern w:val="2"/>
          <w:szCs w:val="22"/>
          <w:lang w:val="en-US" w:eastAsia="zh-CN"/>
        </w:rPr>
        <w:t>五、竞赛过程</w:t>
      </w:r>
      <w:bookmarkEnd w:id="12"/>
      <w:bookmarkEnd w:id="13"/>
    </w:p>
    <w:p>
      <w:pPr>
        <w:pStyle w:val="3"/>
        <w:bidi w:val="0"/>
        <w:rPr>
          <w:rFonts w:hint="eastAsia" w:ascii="宋体" w:hAnsi="宋体" w:eastAsia="宋体" w:cs="宋体"/>
          <w:lang w:val="en-US" w:eastAsia="zh-CN"/>
        </w:rPr>
      </w:pPr>
      <w:bookmarkStart w:id="14" w:name="_Toc15818"/>
      <w:r>
        <w:rPr>
          <w:rFonts w:hint="eastAsia" w:ascii="宋体" w:hAnsi="宋体" w:eastAsia="宋体" w:cs="宋体"/>
          <w:lang w:val="en-US" w:eastAsia="zh-CN"/>
        </w:rPr>
        <w:t>（一）检录</w:t>
      </w:r>
      <w:bookmarkEnd w:id="14"/>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1.各参赛队在比赛时，需按照竞赛组委会公布的比赛时间到达比赛场地“检录区”参加点名检录；经检录处3次检录点名未到者，视作该轮比赛弃权。参赛队无论何种原因耽误比赛责任自负。</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2.检录完成后选手携带参赛设备进入“待赛区”等待正式上场比赛。</w:t>
      </w:r>
    </w:p>
    <w:p>
      <w:pPr>
        <w:pStyle w:val="3"/>
        <w:bidi w:val="0"/>
        <w:rPr>
          <w:rFonts w:hint="eastAsia" w:ascii="宋体" w:hAnsi="宋体" w:eastAsia="宋体" w:cs="宋体"/>
          <w:lang w:val="en-US" w:eastAsia="zh-CN"/>
        </w:rPr>
      </w:pPr>
      <w:bookmarkStart w:id="15" w:name="_Toc15432"/>
      <w:r>
        <w:rPr>
          <w:rFonts w:hint="eastAsia" w:ascii="宋体" w:hAnsi="宋体" w:eastAsia="宋体" w:cs="宋体"/>
          <w:lang w:val="en-US" w:eastAsia="zh-CN"/>
        </w:rPr>
        <w:t>（二）准备</w:t>
      </w:r>
      <w:bookmarkEnd w:id="15"/>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1.参赛选手把无人机飞行器放在起飞点，无人机飞行器任何部位不得超出起飞区域。</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2.开启电源，确认设备正常，无人机飞行器“解锁”后，队员应向裁判员示意申请起飞， 否则未记录到成绩由</w:t>
      </w:r>
      <w:r>
        <w:rPr>
          <w:rFonts w:hint="eastAsia" w:ascii="宋体" w:hAnsi="宋体" w:eastAsia="宋体" w:cs="宋体"/>
          <w:b/>
          <w:bCs/>
          <w:kern w:val="2"/>
          <w:sz w:val="32"/>
          <w:szCs w:val="32"/>
          <w:lang w:val="en-US" w:eastAsia="zh-CN" w:bidi="ar-SA"/>
        </w:rPr>
        <w:t>参赛选手自行负责。</w:t>
      </w:r>
    </w:p>
    <w:p>
      <w:pPr>
        <w:pStyle w:val="3"/>
        <w:bidi w:val="0"/>
        <w:rPr>
          <w:rFonts w:hint="eastAsia" w:ascii="宋体" w:hAnsi="宋体" w:eastAsia="宋体" w:cs="宋体"/>
          <w:lang w:val="en-US" w:eastAsia="zh-CN"/>
        </w:rPr>
      </w:pPr>
      <w:bookmarkStart w:id="16" w:name="_Toc9097"/>
      <w:r>
        <w:rPr>
          <w:rFonts w:hint="eastAsia" w:ascii="宋体" w:hAnsi="宋体" w:eastAsia="宋体" w:cs="宋体"/>
          <w:lang w:val="en-US" w:eastAsia="zh-CN"/>
        </w:rPr>
        <w:t>（三）起飞</w:t>
      </w:r>
      <w:bookmarkEnd w:id="16"/>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1.裁判员确认参赛选手已准备好以后，由定时器戒裁判发出“5、4、3、2、1，起飞”的 倒计时启动口令并开始计时，选手在“起飞”口令时开始操控无人机飞行器正式飞行。飞行器 离开起降区即为“起飞”。</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2.在“起飞”口令前无人机飞行器起飞离开起飞区域则认定为“抢跑”，选手需重新开始 比赛。第一次对“抢跑”的选手予以“警告”，第二次“抢跑”取消抢跑选手该轮成绩。</w:t>
      </w:r>
    </w:p>
    <w:p>
      <w:pPr>
        <w:pStyle w:val="3"/>
        <w:bidi w:val="0"/>
        <w:rPr>
          <w:rFonts w:hint="eastAsia" w:ascii="宋体" w:hAnsi="宋体" w:eastAsia="宋体" w:cs="宋体"/>
          <w:lang w:val="en-US" w:eastAsia="zh-CN"/>
        </w:rPr>
      </w:pPr>
      <w:bookmarkStart w:id="17" w:name="_Toc1668"/>
      <w:r>
        <w:rPr>
          <w:rFonts w:hint="eastAsia" w:ascii="宋体" w:hAnsi="宋体" w:eastAsia="宋体" w:cs="宋体"/>
          <w:lang w:val="en-US" w:eastAsia="zh-CN"/>
        </w:rPr>
        <w:t>（四）飞行</w:t>
      </w:r>
      <w:bookmarkEnd w:id="17"/>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1.比赛采用第一视角飞行</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2.根据比赛项目规则的规定，选手操控无人机完成相关的比赛科目或任务。</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3.除特殊规定外，各比赛项目每名选手需飞行两轮。</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4.每轮比赛飞行时间为3分钟；每名选手点名进场有1分钟的准备时间。</w:t>
      </w:r>
    </w:p>
    <w:p>
      <w:pPr>
        <w:pStyle w:val="3"/>
        <w:bidi w:val="0"/>
        <w:rPr>
          <w:rFonts w:hint="eastAsia" w:ascii="宋体" w:hAnsi="宋体" w:eastAsia="宋体" w:cs="宋体"/>
          <w:lang w:val="en-US" w:eastAsia="zh-CN"/>
        </w:rPr>
      </w:pPr>
      <w:bookmarkStart w:id="18" w:name="_Toc4236"/>
      <w:r>
        <w:rPr>
          <w:rFonts w:hint="eastAsia" w:ascii="宋体" w:hAnsi="宋体" w:eastAsia="宋体" w:cs="宋体"/>
          <w:lang w:val="en-US" w:eastAsia="zh-CN"/>
        </w:rPr>
        <w:t>（五）降落和计时终止</w:t>
      </w:r>
      <w:bookmarkEnd w:id="18"/>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 完成飞行任务后，回到起降区着陆，着陆须一次完成。</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2.除项目有特别规定外，无人机飞行器着陆螺旋桨停止转动后停止计时。计时精确到0.1秒。</w:t>
      </w:r>
    </w:p>
    <w:p>
      <w:pPr>
        <w:pStyle w:val="3"/>
        <w:bidi w:val="0"/>
        <w:rPr>
          <w:rFonts w:hint="eastAsia" w:ascii="宋体" w:hAnsi="宋体" w:eastAsia="宋体" w:cs="宋体"/>
          <w:lang w:val="en-US" w:eastAsia="zh-CN"/>
        </w:rPr>
      </w:pPr>
      <w:bookmarkStart w:id="19" w:name="_Toc8700"/>
      <w:r>
        <w:rPr>
          <w:rFonts w:hint="eastAsia" w:ascii="宋体" w:hAnsi="宋体" w:eastAsia="宋体" w:cs="宋体"/>
          <w:lang w:val="en-US" w:eastAsia="zh-CN"/>
        </w:rPr>
        <w:t>(六)结束</w:t>
      </w:r>
      <w:bookmarkEnd w:id="19"/>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1.比赛结束后，参赛队员应立即切断无人机和遥控器电源，将自己的无人机带离飞行区。</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2.选手需将剩余材料、包装及垃圾清理干净，投放到指定位置。</w:t>
      </w:r>
    </w:p>
    <w:p>
      <w:pPr>
        <w:pStyle w:val="3"/>
        <w:bidi w:val="0"/>
        <w:rPr>
          <w:rFonts w:hint="eastAsia" w:ascii="宋体" w:hAnsi="宋体" w:eastAsia="宋体" w:cs="宋体"/>
          <w:lang w:val="en-US" w:eastAsia="zh-CN"/>
        </w:rPr>
      </w:pPr>
      <w:bookmarkStart w:id="20" w:name="_Toc17854"/>
      <w:r>
        <w:rPr>
          <w:rFonts w:hint="eastAsia" w:ascii="宋体" w:hAnsi="宋体" w:eastAsia="宋体" w:cs="宋体"/>
          <w:lang w:val="en-US" w:eastAsia="zh-CN"/>
        </w:rPr>
        <w:t>(七)确认成绩</w:t>
      </w:r>
      <w:bookmarkEnd w:id="20"/>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1.裁判员填写记分表，告知参赛队员得分情况。</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2.两轮比赛结束后，参赛选手在成绩单上签名确认；无故不签名者由裁判标注确认。</w:t>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21" w:name="_Toc136385535"/>
      <w:bookmarkStart w:id="22" w:name="_Toc24113"/>
      <w:r>
        <w:rPr>
          <w:rFonts w:hint="eastAsia" w:ascii="黑体" w:hAnsi="黑体" w:eastAsia="黑体" w:cs="黑体"/>
          <w:bCs w:val="0"/>
          <w:color w:val="333333"/>
          <w:kern w:val="2"/>
          <w:szCs w:val="22"/>
          <w:lang w:val="en-US" w:eastAsia="zh-CN"/>
        </w:rPr>
        <w:t>六、成绩评定</w:t>
      </w:r>
      <w:bookmarkEnd w:id="21"/>
      <w:bookmarkEnd w:id="22"/>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1.按判罚里规定的比赛方法进行成绩评定。</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2.除特殊规定外，以在规定时间内每名选手两轮比赛中成绩最高的一轮进行排名，成绩高者列前；如成绩相同，则看另一轮成绩，成绩高则列前；如再相同，则名次并列。</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3.除其他裁判外，在比赛过程中，每个号位至少有一名裁判与该号位运动员享 有同一视频信号。以判断并告知运动员是否完成障碍及犯规等</w:t>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23" w:name="_Toc136385536"/>
      <w:bookmarkStart w:id="24" w:name="_Toc9693"/>
      <w:r>
        <w:rPr>
          <w:rFonts w:hint="eastAsia" w:ascii="黑体" w:hAnsi="黑体" w:eastAsia="黑体" w:cs="黑体"/>
          <w:bCs w:val="0"/>
          <w:color w:val="333333"/>
          <w:kern w:val="2"/>
          <w:szCs w:val="22"/>
          <w:lang w:val="en-US" w:eastAsia="zh-CN"/>
        </w:rPr>
        <w:t>七、判罚</w:t>
      </w:r>
      <w:bookmarkEnd w:id="23"/>
      <w:bookmarkEnd w:id="24"/>
    </w:p>
    <w:p>
      <w:pPr>
        <w:pStyle w:val="3"/>
        <w:bidi w:val="0"/>
        <w:rPr>
          <w:rFonts w:hint="eastAsia" w:ascii="宋体" w:hAnsi="宋体" w:eastAsia="宋体" w:cs="宋体"/>
          <w:lang w:val="en-US" w:eastAsia="zh-CN"/>
        </w:rPr>
      </w:pPr>
      <w:bookmarkStart w:id="25" w:name="_Toc1854"/>
      <w:r>
        <w:rPr>
          <w:rFonts w:hint="eastAsia" w:ascii="宋体" w:hAnsi="宋体" w:eastAsia="宋体" w:cs="宋体"/>
          <w:lang w:val="en-US" w:eastAsia="zh-CN"/>
        </w:rPr>
        <w:t>(一)以下情况及判罚方式：</w:t>
      </w:r>
      <w:bookmarkEnd w:id="25"/>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事件</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判罚方式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设备不符合技术要求且不整改</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禁止比赛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检录处3次检录点名不到者</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视为弃赛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同一轮次第一次抢跑</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同一轮次第二次抢跑</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取消该轮成绩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比赛时，飞出比赛区域5秒</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取消该轮成绩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比赛时，飞出比赛区域5秒，并且伤害他人</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禁止比赛，已有成绩全部作废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声明弃权</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视为弃赛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比赛时间结束后1分钟仍未着陆</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取消本轮成绩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每未按规定完成一个障碍物</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总时间加10秒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98"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比赛结束时，未停止在停止区</w:t>
            </w:r>
          </w:p>
        </w:tc>
        <w:tc>
          <w:tcPr>
            <w:tcW w:w="3686" w:type="dxa"/>
          </w:tcPr>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总时间加10秒</w:t>
            </w:r>
          </w:p>
        </w:tc>
      </w:tr>
    </w:tbl>
    <w:p>
      <w:pPr>
        <w:pStyle w:val="3"/>
        <w:bidi w:val="0"/>
        <w:rPr>
          <w:rFonts w:hint="eastAsia" w:ascii="宋体" w:hAnsi="宋体" w:eastAsia="宋体" w:cs="宋体"/>
          <w:lang w:val="en-US" w:eastAsia="zh-CN"/>
        </w:rPr>
      </w:pPr>
      <w:r>
        <w:rPr>
          <w:rFonts w:hint="eastAsia" w:ascii="宋体" w:hAnsi="宋体" w:eastAsia="宋体" w:cs="宋体"/>
          <w:lang w:val="en-US" w:eastAsia="zh-CN"/>
        </w:rPr>
        <w:t xml:space="preserve"> </w:t>
      </w:r>
      <w:bookmarkStart w:id="26" w:name="_Toc14240"/>
      <w:r>
        <w:rPr>
          <w:rFonts w:hint="eastAsia" w:ascii="宋体" w:hAnsi="宋体" w:eastAsia="宋体" w:cs="宋体"/>
          <w:lang w:val="en-US" w:eastAsia="zh-CN"/>
        </w:rPr>
        <w:t>(二)故障及备机的使用</w:t>
      </w:r>
      <w:bookmarkEnd w:id="26"/>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每轮比赛允许选手使用两架无人机。除特殊规定外，比赛中如主机发生故障，可以使用备机继续比赛，但必须将主机取回，备机需沿用之前的动力电池在起飞区域重新起飞，完成后续比赛；如主备机均发生故障，且在比赛时间内无法修复，则比赛终止。以上情况比赛时间均不停止，连续计时。</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除特殊规定外，在飞行过程中无人机飞行器掉落零件应立即着陆，返回起飞区将无人机修复后重新起飞；如发生坠地且不能自主起飞，可以由选手将无人机飞行器放回起飞区重新起飞，继续完成剩余任务；以上情况比赛时间均不停止，连续计时。</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3.在比赛过程中无人机飞行器发生碰撞或触地等情况可以继续飞行。</w:t>
      </w:r>
    </w:p>
    <w:p>
      <w:pPr>
        <w:pStyle w:val="3"/>
        <w:widowControl/>
        <w:numPr>
          <w:ilvl w:val="0"/>
          <w:numId w:val="0"/>
        </w:numPr>
        <w:bidi w:val="0"/>
        <w:spacing w:beforeLines="0" w:beforeAutospacing="0" w:afterLines="0" w:afterAutospacing="0" w:line="413" w:lineRule="auto"/>
        <w:ind w:leftChars="0"/>
        <w:jc w:val="left"/>
        <w:outlineLvl w:val="0"/>
        <w:rPr>
          <w:rFonts w:hint="eastAsia" w:ascii="黑体" w:hAnsi="黑体" w:eastAsia="黑体" w:cs="黑体"/>
          <w:bCs w:val="0"/>
          <w:color w:val="333333"/>
          <w:kern w:val="2"/>
          <w:szCs w:val="22"/>
          <w:lang w:val="en-US" w:eastAsia="zh-CN"/>
        </w:rPr>
      </w:pPr>
      <w:bookmarkStart w:id="27" w:name="_Toc136385537"/>
      <w:bookmarkStart w:id="28" w:name="_Toc28635"/>
      <w:r>
        <w:rPr>
          <w:rFonts w:hint="eastAsia" w:ascii="黑体" w:hAnsi="黑体" w:eastAsia="黑体" w:cs="黑体"/>
          <w:bCs w:val="0"/>
          <w:color w:val="333333"/>
          <w:kern w:val="2"/>
          <w:szCs w:val="22"/>
          <w:lang w:val="en-US" w:eastAsia="zh-CN"/>
        </w:rPr>
        <w:t>八、场地</w:t>
      </w:r>
      <w:bookmarkEnd w:id="27"/>
      <w:bookmarkEnd w:id="28"/>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比赛场地分为赛道区、运动员操控区、准备区、检录区、设备管理区、维修区、裁判工作区和观众区。具体赛道图和区域布局将在比赛前1-2周公布。</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当赛道中的障碍物（如龙门、隧道、刀旗、拱门等）在比赛过程中意外损坏时，运动员需按照原定路线飞行。</w:t>
      </w:r>
    </w:p>
    <w:p>
      <w:pPr>
        <w:pStyle w:val="3"/>
        <w:widowControl/>
        <w:numPr>
          <w:ilvl w:val="0"/>
          <w:numId w:val="1"/>
        </w:numPr>
        <w:bidi w:val="0"/>
        <w:spacing w:beforeLines="0" w:beforeAutospacing="0" w:afterLines="0" w:afterAutospacing="0" w:line="413" w:lineRule="auto"/>
        <w:jc w:val="left"/>
        <w:outlineLvl w:val="0"/>
        <w:rPr>
          <w:rFonts w:hint="eastAsia" w:ascii="黑体" w:hAnsi="黑体" w:eastAsia="黑体" w:cs="黑体"/>
          <w:bCs w:val="0"/>
          <w:color w:val="333333"/>
          <w:kern w:val="2"/>
          <w:szCs w:val="22"/>
          <w:lang w:val="en-US" w:eastAsia="zh-CN"/>
        </w:rPr>
      </w:pPr>
      <w:bookmarkStart w:id="29" w:name="_Toc22070"/>
      <w:r>
        <w:rPr>
          <w:rFonts w:hint="eastAsia" w:ascii="黑体" w:hAnsi="黑体" w:eastAsia="黑体" w:cs="黑体"/>
          <w:bCs w:val="0"/>
          <w:color w:val="333333"/>
          <w:kern w:val="2"/>
          <w:szCs w:val="22"/>
          <w:lang w:val="en-US" w:eastAsia="zh-CN"/>
        </w:rPr>
        <w:t>参赛队伍要求</w:t>
      </w:r>
      <w:bookmarkEnd w:id="29"/>
    </w:p>
    <w:p>
      <w:pPr>
        <w:pStyle w:val="9"/>
        <w:ind w:firstLine="420"/>
        <w:rPr>
          <w:rFonts w:hint="default"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1.每所学校参加比赛的参赛队数量不限。</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2.每支参赛队由 1-3 名学生队员和1名指导教师一同组成，他们均应属于同一所大学、学院或专科学校。</w:t>
      </w:r>
    </w:p>
    <w:p>
      <w:pPr>
        <w:pStyle w:val="3"/>
        <w:widowControl/>
        <w:numPr>
          <w:ilvl w:val="0"/>
          <w:numId w:val="0"/>
        </w:numPr>
        <w:bidi w:val="0"/>
        <w:spacing w:beforeLines="0" w:beforeAutospacing="0" w:afterLines="0" w:afterAutospacing="0" w:line="413" w:lineRule="auto"/>
        <w:jc w:val="left"/>
        <w:outlineLvl w:val="0"/>
        <w:rPr>
          <w:rFonts w:hint="default" w:ascii="黑体" w:hAnsi="黑体" w:eastAsia="黑体" w:cs="黑体"/>
          <w:bCs w:val="0"/>
          <w:color w:val="333333"/>
          <w:kern w:val="2"/>
          <w:szCs w:val="22"/>
          <w:lang w:val="en-US" w:eastAsia="zh-CN"/>
        </w:rPr>
      </w:pPr>
      <w:bookmarkStart w:id="30" w:name="_Toc29806"/>
      <w:r>
        <w:rPr>
          <w:rFonts w:hint="eastAsia" w:ascii="黑体" w:hAnsi="黑体" w:eastAsia="黑体" w:cs="黑体"/>
          <w:bCs w:val="0"/>
          <w:color w:val="333333"/>
          <w:kern w:val="2"/>
          <w:szCs w:val="22"/>
          <w:lang w:val="en-US" w:eastAsia="zh-CN"/>
        </w:rPr>
        <w:t>十、其他</w:t>
      </w:r>
      <w:bookmarkEnd w:id="30"/>
    </w:p>
    <w:p>
      <w:pPr>
        <w:pStyle w:val="9"/>
        <w:ind w:firstLine="420"/>
        <w:rPr>
          <w:rFonts w:hint="default"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比赛地点：山东省潍坊市寿光市潍坊科技学院</w:t>
      </w:r>
    </w:p>
    <w:p>
      <w:pPr>
        <w:pStyle w:val="9"/>
        <w:ind w:firstLine="420"/>
        <w:rPr>
          <w:rFonts w:hint="default"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比赛时间：2023年9月16日—17日</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项目负责人联系方式 ：</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江继钊  手机号：15550704708  QQ：2757374173</w:t>
      </w:r>
    </w:p>
    <w:p>
      <w:pPr>
        <w:pStyle w:val="9"/>
        <w:ind w:firstLine="420"/>
        <w:rPr>
          <w:rFonts w:hint="eastAsia" w:ascii="仿宋" w:hAnsi="仿宋" w:eastAsia="仿宋" w:cs="仿宋"/>
          <w:color w:val="333333"/>
          <w:kern w:val="2"/>
          <w:sz w:val="32"/>
          <w:szCs w:val="32"/>
          <w:lang w:val="en-US" w:eastAsia="zh-CN" w:bidi="ar-SA"/>
        </w:rPr>
      </w:pPr>
      <w:r>
        <w:rPr>
          <w:rFonts w:hint="eastAsia" w:ascii="仿宋" w:hAnsi="仿宋" w:eastAsia="仿宋" w:cs="仿宋"/>
          <w:color w:val="FF0000"/>
          <w:kern w:val="2"/>
          <w:sz w:val="32"/>
          <w:szCs w:val="32"/>
          <w:lang w:val="en-US" w:eastAsia="zh-CN" w:bidi="ar-SA"/>
        </w:rPr>
        <w:t>本规则解释权归竞赛秘书处和比赛组织委员会所有。</w:t>
      </w:r>
      <w:r>
        <w:rPr>
          <w:rFonts w:hint="eastAsia" w:ascii="仿宋" w:hAnsi="仿宋" w:cs="仿宋"/>
          <w:color w:val="FF0000"/>
          <w:sz w:val="32"/>
          <w:szCs w:val="32"/>
          <w:lang w:val="en-US" w:eastAsia="zh-CN"/>
        </w:rPr>
        <w:t xml:space="preserve">  </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2AD266-6E41-4211-BC99-B3AB7AE0F5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4EAC445-DA1B-47B3-A9E4-BCE7C8EF0F8D}"/>
  </w:font>
  <w:font w:name="等线 Light">
    <w:panose1 w:val="02010600030101010101"/>
    <w:charset w:val="86"/>
    <w:family w:val="auto"/>
    <w:pitch w:val="default"/>
    <w:sig w:usb0="A00002BF" w:usb1="38CF7CFA" w:usb2="00000016" w:usb3="00000000" w:csb0="0004000F" w:csb1="00000000"/>
    <w:embedRegular r:id="rId3" w:fontKey="{ABDF6A74-81D7-4D70-A296-44036B0DB087}"/>
  </w:font>
  <w:font w:name="方正小标宋简体">
    <w:panose1 w:val="02000000000000000000"/>
    <w:charset w:val="86"/>
    <w:family w:val="script"/>
    <w:pitch w:val="default"/>
    <w:sig w:usb0="00000001" w:usb1="08000000" w:usb2="00000000" w:usb3="00000000" w:csb0="00040000" w:csb1="00000000"/>
    <w:embedRegular r:id="rId4" w:fontKey="{FD08905E-E473-4EB5-9962-2E41A49681F4}"/>
  </w:font>
  <w:font w:name="楷体_GB2312">
    <w:altName w:val="楷体"/>
    <w:panose1 w:val="00000000000000000000"/>
    <w:charset w:val="86"/>
    <w:family w:val="modern"/>
    <w:pitch w:val="default"/>
    <w:sig w:usb0="00000000" w:usb1="00000000" w:usb2="00000010" w:usb3="00000000" w:csb0="00040000" w:csb1="00000000"/>
    <w:embedRegular r:id="rId5" w:fontKey="{0893D84D-C824-4106-814A-2AD656E728FB}"/>
  </w:font>
  <w:font w:name="微软雅黑">
    <w:panose1 w:val="020B0503020204020204"/>
    <w:charset w:val="86"/>
    <w:family w:val="swiss"/>
    <w:pitch w:val="default"/>
    <w:sig w:usb0="80000287" w:usb1="2ACF3C50" w:usb2="00000016" w:usb3="00000000" w:csb0="0004001F" w:csb1="00000000"/>
    <w:embedRegular r:id="rId6" w:fontKey="{A2E539C6-5883-4BE4-B44D-A3E91C4BE9A7}"/>
  </w:font>
  <w:font w:name="仿宋">
    <w:panose1 w:val="02010609060101010101"/>
    <w:charset w:val="86"/>
    <w:family w:val="auto"/>
    <w:pitch w:val="default"/>
    <w:sig w:usb0="800002BF" w:usb1="38CF7CFA" w:usb2="00000016" w:usb3="00000000" w:csb0="00040001" w:csb1="00000000"/>
    <w:embedRegular r:id="rId7" w:fontKey="{027A78A8-41B2-44A6-84ED-43469B2E4560}"/>
  </w:font>
  <w:font w:name="汉仪雅酷黑 75W">
    <w:altName w:val="黑体"/>
    <w:panose1 w:val="00000000000000000000"/>
    <w:charset w:val="86"/>
    <w:family w:val="auto"/>
    <w:pitch w:val="default"/>
    <w:sig w:usb0="00000000" w:usb1="00000000" w:usb2="00000016" w:usb3="00000000" w:csb0="2004000F" w:csb1="00000000"/>
    <w:embedRegular r:id="rId8" w:fontKey="{DB59FFFD-DA08-439F-8016-01F4D545D6E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sz w:val="32"/>
        <w:szCs w:val="32"/>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汉仪雅酷黑 75W" w:hAnsi="汉仪雅酷黑 75W" w:eastAsia="汉仪雅酷黑 75W" w:cs="汉仪雅酷黑 75W"/>
        <w:sz w:val="24"/>
      </w:rPr>
    </w:pPr>
  </w:p>
  <w:p>
    <w:pPr>
      <w:jc w:val="center"/>
    </w:pPr>
    <w:r>
      <w:rPr>
        <w:rFonts w:hint="eastAsia" w:ascii="汉仪雅酷黑 75W" w:hAnsi="汉仪雅酷黑 75W" w:eastAsia="汉仪雅酷黑 75W" w:cs="汉仪雅酷黑 75W"/>
        <w:sz w:val="24"/>
      </w:rPr>
      <w:t>第七届山东省大学生“数字+”创新创业大赛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B9A2D"/>
    <w:multiLevelType w:val="singleLevel"/>
    <w:tmpl w:val="5BDB9A2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NWUyYzBjZmZkOGJiZjU5YjRlM2Q5YjU3NTg3NWYifQ=="/>
  </w:docVars>
  <w:rsids>
    <w:rsidRoot w:val="006640BA"/>
    <w:rsid w:val="00201CCF"/>
    <w:rsid w:val="003A648D"/>
    <w:rsid w:val="0041382D"/>
    <w:rsid w:val="004629CD"/>
    <w:rsid w:val="004B3347"/>
    <w:rsid w:val="004C3EA2"/>
    <w:rsid w:val="004F0B05"/>
    <w:rsid w:val="006640BA"/>
    <w:rsid w:val="00752711"/>
    <w:rsid w:val="007926C2"/>
    <w:rsid w:val="007F16FF"/>
    <w:rsid w:val="009774B9"/>
    <w:rsid w:val="00A24346"/>
    <w:rsid w:val="00A93BA4"/>
    <w:rsid w:val="00BE7CF1"/>
    <w:rsid w:val="00C15435"/>
    <w:rsid w:val="00C46B3E"/>
    <w:rsid w:val="00D47E8B"/>
    <w:rsid w:val="00D53A5C"/>
    <w:rsid w:val="00DF106A"/>
    <w:rsid w:val="00EF76EE"/>
    <w:rsid w:val="00FC703A"/>
    <w:rsid w:val="357F3F8F"/>
    <w:rsid w:val="490B44D1"/>
    <w:rsid w:val="55037C9A"/>
    <w:rsid w:val="5E8F6C77"/>
    <w:rsid w:val="654D72A1"/>
    <w:rsid w:val="670D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after="100" w:line="259" w:lineRule="auto"/>
      <w:jc w:val="left"/>
    </w:pPr>
    <w:rPr>
      <w:rFonts w:cs="Times New Roman"/>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qFormat/>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4D9CF-7425-409B-835B-4A51D102ADCC}">
  <ds:schemaRefs/>
</ds:datastoreItem>
</file>

<file path=docProps/app.xml><?xml version="1.0" encoding="utf-8"?>
<Properties xmlns="http://schemas.openxmlformats.org/officeDocument/2006/extended-properties" xmlns:vt="http://schemas.openxmlformats.org/officeDocument/2006/docPropsVTypes">
  <Template>Normal</Template>
  <Pages>10</Pages>
  <Words>2377</Words>
  <Characters>2468</Characters>
  <Lines>19</Lines>
  <Paragraphs>5</Paragraphs>
  <TotalTime>0</TotalTime>
  <ScaleCrop>false</ScaleCrop>
  <LinksUpToDate>false</LinksUpToDate>
  <CharactersWithSpaces>2564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2023-05-30T12:52:00Z</dcterms:created>
  <dc:creator>哈 哈哈</dc:creator>
  <cp:lastModifiedBy>栾痕</cp:lastModifiedBy>
  <dcterms:modified xsi:type="dcterms:W3CDTF">2023-06-09T00:40:57Z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01410ADAA83B41BBB57344D5DBC77324_13</vt:lpwstr>
  </property>
</Properties>
</file>